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92E8F" w14:textId="70FC3721" w:rsidR="00970D11" w:rsidRPr="00970D11" w:rsidRDefault="00A82A2E" w:rsidP="00606F58">
      <w:pPr>
        <w:spacing w:after="0" w:line="240" w:lineRule="auto"/>
        <w:rPr>
          <w:rFonts w:ascii="Arial" w:hAnsi="Arial" w:cs="Arial"/>
          <w:b/>
          <w:i/>
          <w:color w:val="00A0DF"/>
          <w:sz w:val="28"/>
          <w:szCs w:val="28"/>
        </w:rPr>
      </w:pPr>
      <w:r>
        <w:rPr>
          <w:rFonts w:ascii="Arial" w:hAnsi="Arial"/>
          <w:b/>
          <w:i/>
          <w:color w:val="00A0DF"/>
          <w:sz w:val="28"/>
          <w:szCs w:val="28"/>
        </w:rPr>
        <w:t>Fiche d’information sur les rayons gamma</w:t>
      </w:r>
    </w:p>
    <w:p w14:paraId="69CBEF06" w14:textId="77777777" w:rsidR="00333C33" w:rsidRDefault="00333C33" w:rsidP="00333C33">
      <w:pPr>
        <w:spacing w:after="0" w:line="240" w:lineRule="auto"/>
        <w:rPr>
          <w:rFonts w:ascii="Arial" w:hAnsi="Arial" w:cs="Arial"/>
          <w:sz w:val="24"/>
          <w:szCs w:val="24"/>
        </w:rPr>
      </w:pPr>
    </w:p>
    <w:p w14:paraId="4F9DB988" w14:textId="77777777" w:rsidR="00970D11" w:rsidRPr="00606F58" w:rsidRDefault="0021047F" w:rsidP="00606F58">
      <w:pPr>
        <w:spacing w:after="0" w:line="240" w:lineRule="auto"/>
        <w:rPr>
          <w:rFonts w:ascii="Arial" w:hAnsi="Arial" w:cs="Arial"/>
          <w:sz w:val="36"/>
          <w:szCs w:val="24"/>
        </w:rPr>
      </w:pPr>
      <w:r>
        <w:rPr>
          <w:rFonts w:ascii="Arial" w:hAnsi="Arial"/>
          <w:sz w:val="24"/>
          <w:szCs w:val="24"/>
        </w:rPr>
        <w:t>La troisième lettre de l’alphabet grec est </w:t>
      </w:r>
      <w:r>
        <w:rPr>
          <w:rFonts w:ascii="Arial" w:hAnsi="Arial"/>
          <w:iCs/>
          <w:sz w:val="24"/>
          <w:szCs w:val="24"/>
        </w:rPr>
        <w:t>gamma </w:t>
      </w:r>
      <w:r>
        <w:rPr>
          <w:rFonts w:ascii="Arial" w:hAnsi="Arial"/>
          <w:sz w:val="24"/>
          <w:szCs w:val="24"/>
        </w:rPr>
        <w:t>(</w:t>
      </w:r>
      <w:r>
        <w:rPr>
          <w:rFonts w:ascii="Arial" w:hAnsi="Arial"/>
          <w:iCs/>
          <w:sz w:val="24"/>
          <w:szCs w:val="24"/>
        </w:rPr>
        <w:t>γ</w:t>
      </w:r>
      <w:r>
        <w:rPr>
          <w:rFonts w:ascii="Arial" w:hAnsi="Arial"/>
          <w:sz w:val="24"/>
          <w:szCs w:val="24"/>
        </w:rPr>
        <w:t xml:space="preserve">). Le rayon gamma a été découvert en 1896 par </w:t>
      </w:r>
      <w:r>
        <w:rPr>
          <w:rStyle w:val="Hyperlink"/>
          <w:rFonts w:ascii="Arial" w:hAnsi="Arial"/>
          <w:color w:val="auto"/>
          <w:sz w:val="24"/>
          <w:szCs w:val="24"/>
          <w:u w:val="none"/>
        </w:rPr>
        <w:t>Henri Becquerel</w:t>
      </w:r>
      <w:r>
        <w:rPr>
          <w:rFonts w:ascii="Arial" w:hAnsi="Arial"/>
          <w:sz w:val="24"/>
          <w:szCs w:val="24"/>
        </w:rPr>
        <w:t>. Il s’agit d’un rayonnement électromagnétique ionisant très pénétrant, composé de photons (lumière). Les rayons gamma ont généralement la fréquence la plus élevée et les longueurs d’onde les plus courtes du spectre électromagnétique.</w:t>
      </w:r>
    </w:p>
    <w:p w14:paraId="70E37603" w14:textId="77777777" w:rsidR="00333C33" w:rsidRDefault="00333C33" w:rsidP="00333C33">
      <w:pPr>
        <w:pStyle w:val="Caption"/>
        <w:spacing w:after="0"/>
        <w:ind w:left="720" w:firstLine="720"/>
        <w:rPr>
          <w:rFonts w:ascii="Arial" w:hAnsi="Arial" w:cs="Arial"/>
          <w:i w:val="0"/>
          <w:iCs w:val="0"/>
          <w:color w:val="auto"/>
          <w:sz w:val="24"/>
          <w:szCs w:val="24"/>
        </w:rPr>
      </w:pPr>
    </w:p>
    <w:tbl>
      <w:tblPr>
        <w:tblpPr w:leftFromText="195" w:rightFromText="45" w:bottomFromText="390" w:vertAnchor="text" w:tblpXSpec="right" w:tblpYSpec="center"/>
        <w:tblW w:w="5865" w:type="dxa"/>
        <w:tblBorders>
          <w:bottom w:val="single" w:sz="6" w:space="0" w:color="DDDDDD"/>
        </w:tblBorders>
        <w:tblCellMar>
          <w:left w:w="0" w:type="dxa"/>
          <w:right w:w="0" w:type="dxa"/>
        </w:tblCellMar>
        <w:tblLook w:val="04A0" w:firstRow="1" w:lastRow="0" w:firstColumn="1" w:lastColumn="0" w:noHBand="0" w:noVBand="1"/>
      </w:tblPr>
      <w:tblGrid>
        <w:gridCol w:w="7740"/>
      </w:tblGrid>
      <w:tr w:rsidR="00DE58E6" w:rsidRPr="00382CC6" w14:paraId="07750B00"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61334899" w14:textId="6163BEBA" w:rsidR="00333C33" w:rsidRPr="00D41434" w:rsidRDefault="00DD3C6C" w:rsidP="00606F58">
            <w:pPr>
              <w:spacing w:after="0" w:line="240" w:lineRule="auto"/>
              <w:rPr>
                <w:rFonts w:ascii="Arial" w:eastAsia="Times New Roman" w:hAnsi="Arial" w:cs="Arial"/>
                <w:sz w:val="24"/>
                <w:szCs w:val="24"/>
              </w:rPr>
            </w:pPr>
            <w:r>
              <w:rPr>
                <w:noProof/>
              </w:rPr>
              <w:drawing>
                <wp:inline distT="0" distB="0" distL="0" distR="0" wp14:anchorId="4A98C1CF" wp14:editId="614FECAD">
                  <wp:extent cx="4810125" cy="23787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0125" cy="2378710"/>
                          </a:xfrm>
                          <a:prstGeom prst="rect">
                            <a:avLst/>
                          </a:prstGeom>
                        </pic:spPr>
                      </pic:pic>
                    </a:graphicData>
                  </a:graphic>
                </wp:inline>
              </w:drawing>
            </w:r>
          </w:p>
        </w:tc>
      </w:tr>
      <w:tr w:rsidR="00DE58E6" w:rsidRPr="00382CC6" w14:paraId="48337C6F"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3033A451" w14:textId="77777777" w:rsidR="00333C33" w:rsidRPr="00606F58" w:rsidRDefault="00333C33" w:rsidP="00606F58">
            <w:pPr>
              <w:pStyle w:val="Caption"/>
              <w:spacing w:after="0"/>
              <w:jc w:val="center"/>
              <w:rPr>
                <w:rFonts w:ascii="Arial" w:hAnsi="Arial" w:cs="Arial"/>
                <w:sz w:val="36"/>
                <w:szCs w:val="24"/>
              </w:rPr>
            </w:pPr>
            <w:r>
              <w:rPr>
                <w:rFonts w:ascii="Arial" w:hAnsi="Arial"/>
                <w:color w:val="auto"/>
                <w:sz w:val="24"/>
              </w:rPr>
              <w:t>Un rayonnement électromagnétique est émis lorsque des électrons passent d’un niveau d’énergie supérieur à un niveau moindre.</w:t>
            </w:r>
          </w:p>
        </w:tc>
      </w:tr>
    </w:tbl>
    <w:p w14:paraId="7A399353" w14:textId="77777777" w:rsidR="0021047F" w:rsidRDefault="0021047F" w:rsidP="00333C33">
      <w:pPr>
        <w:spacing w:after="0" w:line="240" w:lineRule="auto"/>
        <w:rPr>
          <w:rFonts w:ascii="Arial" w:hAnsi="Arial" w:cs="Arial"/>
          <w:sz w:val="24"/>
          <w:szCs w:val="24"/>
        </w:rPr>
      </w:pPr>
      <w:r>
        <w:rPr>
          <w:rFonts w:ascii="Arial" w:hAnsi="Arial"/>
          <w:sz w:val="24"/>
          <w:szCs w:val="24"/>
        </w:rPr>
        <w:t>La plupart des rayonnements électromagnétiques (des ondes radio aux rayons X en passant par la lumière visible) sont émis lorsqu’un électron passe d’un niveau d’énergie supérieur à un niveau moindre, comme l’illustre le diagramme. Selon le principe de conservation de l’énergie, l’énergie du photon relâché est égale à celle que l’électron a perdu.</w:t>
      </w:r>
    </w:p>
    <w:p w14:paraId="0DD5D1AA" w14:textId="77777777" w:rsidR="00333C33" w:rsidRPr="00970D11" w:rsidRDefault="00333C33" w:rsidP="00606F58">
      <w:pPr>
        <w:spacing w:after="0" w:line="240" w:lineRule="auto"/>
        <w:rPr>
          <w:rFonts w:ascii="Arial" w:hAnsi="Arial" w:cs="Arial"/>
          <w:sz w:val="24"/>
          <w:szCs w:val="24"/>
        </w:rPr>
      </w:pPr>
    </w:p>
    <w:p w14:paraId="5ED919A2" w14:textId="77777777" w:rsidR="0021047F" w:rsidRDefault="0021047F" w:rsidP="00333C33">
      <w:pPr>
        <w:spacing w:after="0" w:line="240" w:lineRule="auto"/>
        <w:rPr>
          <w:rFonts w:ascii="Arial" w:hAnsi="Arial" w:cs="Arial"/>
          <w:sz w:val="24"/>
          <w:szCs w:val="24"/>
        </w:rPr>
      </w:pPr>
      <w:r>
        <w:rPr>
          <w:rFonts w:ascii="Arial" w:hAnsi="Arial"/>
          <w:sz w:val="24"/>
          <w:szCs w:val="24"/>
        </w:rPr>
        <w:t xml:space="preserve">De même, des rayons gamma sont produits lorsque le noyau d’un atome est dans un état excité (aussi appelé « état métastable » ou « isomérique ») et qu’il libère de l’énergie en se stabilisant. On peut exprimer cette réaction au moyen de l’équation suivante :  A* → A + γ, où A* représente l’état excité du noyau. Le noyau de filiation </w:t>
      </w:r>
      <w:r>
        <w:rPr>
          <w:rFonts w:ascii="Arial" w:hAnsi="Arial"/>
          <w:i/>
          <w:iCs/>
          <w:sz w:val="24"/>
          <w:szCs w:val="24"/>
        </w:rPr>
        <w:t>A</w:t>
      </w:r>
      <w:r>
        <w:rPr>
          <w:rFonts w:ascii="Arial" w:hAnsi="Arial"/>
          <w:sz w:val="24"/>
          <w:szCs w:val="24"/>
        </w:rPr>
        <w:t xml:space="preserve"> possède le même numéro atomique que le noyau parent, mais une masse légèrement plus petite en raison de la libération d’énergie.</w:t>
      </w:r>
    </w:p>
    <w:p w14:paraId="49B94281" w14:textId="77777777" w:rsidR="00333C33" w:rsidRDefault="00333C33" w:rsidP="00333C33">
      <w:pPr>
        <w:spacing w:after="0" w:line="240" w:lineRule="auto"/>
        <w:rPr>
          <w:rFonts w:ascii="Arial" w:hAnsi="Arial" w:cs="Arial"/>
          <w:sz w:val="24"/>
          <w:szCs w:val="24"/>
        </w:rPr>
      </w:pPr>
    </w:p>
    <w:tbl>
      <w:tblPr>
        <w:tblpPr w:leftFromText="195" w:rightFromText="45" w:bottomFromText="390" w:vertAnchor="text" w:tblpXSpec="right" w:tblpYSpec="center"/>
        <w:tblW w:w="5865" w:type="dxa"/>
        <w:tblBorders>
          <w:bottom w:val="single" w:sz="6" w:space="0" w:color="DDDDDD"/>
        </w:tblBorders>
        <w:tblCellMar>
          <w:left w:w="0" w:type="dxa"/>
          <w:right w:w="0" w:type="dxa"/>
        </w:tblCellMar>
        <w:tblLook w:val="04A0" w:firstRow="1" w:lastRow="0" w:firstColumn="1" w:lastColumn="0" w:noHBand="0" w:noVBand="1"/>
      </w:tblPr>
      <w:tblGrid>
        <w:gridCol w:w="6030"/>
      </w:tblGrid>
      <w:tr w:rsidR="00333C33" w:rsidRPr="00D41434" w14:paraId="21FB1D27"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633922DB" w14:textId="0B6815CE" w:rsidR="00333C33" w:rsidRPr="00D41434" w:rsidRDefault="00DD3C6C" w:rsidP="00D41434">
            <w:pPr>
              <w:spacing w:after="0" w:line="240" w:lineRule="auto"/>
              <w:rPr>
                <w:rFonts w:ascii="Arial" w:eastAsia="Times New Roman" w:hAnsi="Arial" w:cs="Arial"/>
                <w:sz w:val="24"/>
                <w:szCs w:val="24"/>
              </w:rPr>
            </w:pPr>
            <w:r>
              <w:rPr>
                <w:noProof/>
              </w:rPr>
              <w:drawing>
                <wp:inline distT="0" distB="0" distL="0" distR="0" wp14:anchorId="33192CA5" wp14:editId="67D2813E">
                  <wp:extent cx="3733800" cy="154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3800" cy="1544320"/>
                          </a:xfrm>
                          <a:prstGeom prst="rect">
                            <a:avLst/>
                          </a:prstGeom>
                        </pic:spPr>
                      </pic:pic>
                    </a:graphicData>
                  </a:graphic>
                </wp:inline>
              </w:drawing>
            </w:r>
          </w:p>
        </w:tc>
      </w:tr>
      <w:tr w:rsidR="00333C33" w:rsidRPr="00382CC6" w14:paraId="6933374C"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399A22BB" w14:textId="77777777" w:rsidR="00333C33" w:rsidRPr="00382CC6" w:rsidRDefault="00333C33" w:rsidP="00D41434">
            <w:pPr>
              <w:spacing w:after="0" w:line="240" w:lineRule="auto"/>
              <w:jc w:val="center"/>
              <w:textAlignment w:val="baseline"/>
              <w:rPr>
                <w:rFonts w:ascii="Arial" w:eastAsia="Times New Roman" w:hAnsi="Arial" w:cs="Arial"/>
                <w:sz w:val="24"/>
                <w:szCs w:val="24"/>
              </w:rPr>
            </w:pPr>
            <w:r>
              <w:rPr>
                <w:rFonts w:ascii="Arial" w:hAnsi="Arial"/>
                <w:i/>
                <w:iCs/>
                <w:sz w:val="24"/>
                <w:szCs w:val="24"/>
                <w:bdr w:val="none" w:sz="0" w:space="0" w:color="auto" w:frame="1"/>
              </w:rPr>
              <w:t>Rayonnement gamma</w:t>
            </w:r>
          </w:p>
        </w:tc>
      </w:tr>
    </w:tbl>
    <w:p w14:paraId="6CDD56DE" w14:textId="77777777" w:rsidR="00333C33" w:rsidRDefault="0021047F" w:rsidP="00606F58">
      <w:pPr>
        <w:spacing w:after="0" w:line="240" w:lineRule="auto"/>
        <w:rPr>
          <w:rFonts w:ascii="Arial" w:hAnsi="Arial" w:cs="Arial"/>
          <w:sz w:val="24"/>
          <w:szCs w:val="24"/>
        </w:rPr>
      </w:pPr>
      <w:r>
        <w:rPr>
          <w:rFonts w:ascii="Arial" w:hAnsi="Arial"/>
          <w:sz w:val="24"/>
          <w:szCs w:val="24"/>
        </w:rPr>
        <w:t xml:space="preserve">Les noyaux atteignent souvent l’état excité après une autre forme de désintégration radioactive. Par exemple, en subissant une désintégration bêta, le </w:t>
      </w:r>
      <w:r>
        <w:rPr>
          <w:rFonts w:ascii="Arial" w:hAnsi="Arial"/>
          <w:sz w:val="24"/>
          <w:szCs w:val="24"/>
          <w:vertAlign w:val="superscript"/>
        </w:rPr>
        <w:t>60</w:t>
      </w:r>
      <w:r>
        <w:rPr>
          <w:rFonts w:ascii="Arial" w:hAnsi="Arial"/>
          <w:sz w:val="24"/>
          <w:szCs w:val="24"/>
        </w:rPr>
        <w:t xml:space="preserve">Co se transforme en un </w:t>
      </w:r>
      <w:r>
        <w:rPr>
          <w:rFonts w:ascii="Arial" w:hAnsi="Arial"/>
          <w:sz w:val="24"/>
          <w:szCs w:val="24"/>
          <w:vertAlign w:val="superscript"/>
        </w:rPr>
        <w:t>60</w:t>
      </w:r>
      <w:r>
        <w:rPr>
          <w:rFonts w:ascii="Arial" w:hAnsi="Arial"/>
          <w:sz w:val="24"/>
          <w:szCs w:val="24"/>
        </w:rPr>
        <w:t>Ni* à l’état excité. Celui‑ci émet ensuite successivement deux rayons gamma au cours de sa désintégration pour en arriver à un noyau énergétiquement plus stable. Les équations ci-après décrivent cette série de réactions :</w:t>
      </w:r>
    </w:p>
    <w:p w14:paraId="025A70F2" w14:textId="3FA1832C" w:rsidR="00B90D41" w:rsidRPr="00B90D41" w:rsidRDefault="0021047F" w:rsidP="00B90D41">
      <w:pPr>
        <w:rPr>
          <w:rFonts w:ascii="Arial" w:hAnsi="Arial" w:cs="Arial"/>
          <w:sz w:val="24"/>
          <w:szCs w:val="24"/>
        </w:rPr>
      </w:pPr>
      <w:r>
        <w:rPr>
          <w:rFonts w:ascii="Arial" w:hAnsi="Arial"/>
          <w:sz w:val="24"/>
          <w:szCs w:val="24"/>
        </w:rPr>
        <w:lastRenderedPageBreak/>
        <w:br/>
      </w:r>
      <w:r>
        <w:rPr>
          <w:rFonts w:ascii="Arial" w:hAnsi="Arial"/>
          <w:sz w:val="24"/>
          <w:szCs w:val="24"/>
          <w:vertAlign w:val="superscript"/>
        </w:rPr>
        <w:t>60</w:t>
      </w:r>
      <w:r>
        <w:rPr>
          <w:rFonts w:ascii="Arial" w:hAnsi="Arial"/>
          <w:sz w:val="24"/>
          <w:szCs w:val="24"/>
        </w:rPr>
        <w:t xml:space="preserve">Co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Ni* + e</w:t>
      </w:r>
      <w:r>
        <w:rPr>
          <w:rFonts w:ascii="Arial" w:hAnsi="Arial"/>
          <w:sz w:val="24"/>
          <w:szCs w:val="24"/>
          <w:shd w:val="clear" w:color="auto" w:fill="FFFFFF"/>
          <w:vertAlign w:val="superscript"/>
        </w:rPr>
        <w:t>−</w:t>
      </w:r>
      <w:r>
        <w:rPr>
          <w:rFonts w:ascii="Arial" w:hAnsi="Arial"/>
          <w:sz w:val="24"/>
          <w:szCs w:val="24"/>
        </w:rPr>
        <w:t xml:space="preserve"> + </w:t>
      </w:r>
      <m:oMath>
        <m:bar>
          <m:barPr>
            <m:pos m:val="top"/>
            <m:ctrlPr>
              <w:rPr>
                <w:rFonts w:ascii="Cambria Math" w:hAnsi="Cambria Math" w:cs="Arial"/>
                <w:i/>
                <w:sz w:val="24"/>
                <w:szCs w:val="24"/>
              </w:rPr>
            </m:ctrlPr>
          </m:barPr>
          <m:e>
            <m:r>
              <w:rPr>
                <w:rFonts w:ascii="Cambria Math" w:hAnsi="Cambria Math" w:cs="Arial"/>
                <w:sz w:val="24"/>
                <w:szCs w:val="24"/>
              </w:rPr>
              <m:t>v</m:t>
            </m:r>
          </m:e>
        </m:bar>
      </m:oMath>
      <w:r>
        <w:rPr>
          <w:rFonts w:ascii="Arial" w:hAnsi="Arial"/>
          <w:sz w:val="24"/>
          <w:szCs w:val="24"/>
        </w:rPr>
        <w:t xml:space="preserve"> + 0,31 MeV (désintégration</w:t>
      </w:r>
      <w:r>
        <w:rPr>
          <w:rFonts w:ascii="Arial" w:hAnsi="Arial"/>
          <w:sz w:val="24"/>
          <w:szCs w:val="24"/>
          <w:shd w:val="clear" w:color="auto" w:fill="FFFFFF"/>
        </w:rPr>
        <w:t>β</w:t>
      </w:r>
      <w:r>
        <w:rPr>
          <w:rFonts w:ascii="Arial" w:hAnsi="Arial"/>
          <w:sz w:val="24"/>
          <w:szCs w:val="24"/>
          <w:shd w:val="clear" w:color="auto" w:fill="FFFFFF"/>
          <w:vertAlign w:val="superscript"/>
        </w:rPr>
        <w:t>−</w:t>
      </w:r>
      <w:r>
        <w:rPr>
          <w:rFonts w:ascii="Arial" w:hAnsi="Arial"/>
          <w:sz w:val="24"/>
          <w:szCs w:val="24"/>
        </w:rPr>
        <w:t>)</w:t>
      </w:r>
    </w:p>
    <w:p w14:paraId="62ABB5C6" w14:textId="77777777" w:rsidR="00B90D41" w:rsidRDefault="00B90D41" w:rsidP="00B90D41">
      <w:pPr>
        <w:spacing w:after="240" w:line="240" w:lineRule="auto"/>
        <w:rPr>
          <w:rFonts w:ascii="Arial" w:hAnsi="Arial" w:cs="Arial"/>
          <w:sz w:val="24"/>
          <w:szCs w:val="24"/>
        </w:rPr>
      </w:pPr>
      <w:r>
        <w:rPr>
          <w:rFonts w:ascii="Arial" w:hAnsi="Arial"/>
          <w:sz w:val="24"/>
          <w:szCs w:val="24"/>
          <w:vertAlign w:val="superscript"/>
        </w:rPr>
        <w:t>60</w:t>
      </w:r>
      <w:r>
        <w:rPr>
          <w:rFonts w:ascii="Arial" w:hAnsi="Arial"/>
          <w:sz w:val="24"/>
          <w:szCs w:val="24"/>
        </w:rPr>
        <w:t xml:space="preserve">Ni*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 xml:space="preserve">Ni* + </w:t>
      </w:r>
      <w:r>
        <w:rPr>
          <w:rFonts w:ascii="Arial" w:hAnsi="Arial"/>
          <w:sz w:val="24"/>
          <w:szCs w:val="24"/>
        </w:rPr>
        <w:sym w:font="Symbol" w:char="F067"/>
      </w:r>
      <w:r>
        <w:rPr>
          <w:rFonts w:ascii="Arial" w:hAnsi="Arial"/>
          <w:sz w:val="24"/>
          <w:szCs w:val="24"/>
        </w:rPr>
        <w:t xml:space="preserve"> + 1,17 MeV</w:t>
      </w:r>
    </w:p>
    <w:p w14:paraId="7069602B" w14:textId="77777777" w:rsidR="00B90D41" w:rsidRPr="009816C2" w:rsidRDefault="00B90D41" w:rsidP="00B90D41">
      <w:pPr>
        <w:spacing w:after="240" w:line="240" w:lineRule="auto"/>
        <w:rPr>
          <w:rFonts w:ascii="Arial" w:hAnsi="Arial" w:cs="Arial"/>
          <w:sz w:val="24"/>
          <w:szCs w:val="24"/>
        </w:rPr>
      </w:pPr>
      <w:r>
        <w:rPr>
          <w:rFonts w:ascii="Arial" w:hAnsi="Arial"/>
          <w:sz w:val="24"/>
          <w:szCs w:val="24"/>
          <w:vertAlign w:val="superscript"/>
        </w:rPr>
        <w:t>60</w:t>
      </w:r>
      <w:r>
        <w:rPr>
          <w:rFonts w:ascii="Arial" w:hAnsi="Arial"/>
          <w:sz w:val="24"/>
          <w:szCs w:val="24"/>
        </w:rPr>
        <w:t xml:space="preserve">Ni* </w:t>
      </w:r>
      <w:r>
        <w:rPr>
          <w:rFonts w:ascii="Arial" w:hAnsi="Arial"/>
          <w:sz w:val="24"/>
          <w:szCs w:val="24"/>
        </w:rPr>
        <w:sym w:font="Symbol" w:char="F0AE"/>
      </w:r>
      <w:r>
        <w:rPr>
          <w:rFonts w:ascii="Arial" w:hAnsi="Arial"/>
          <w:sz w:val="24"/>
          <w:szCs w:val="24"/>
        </w:rPr>
        <w:t xml:space="preserve"> </w:t>
      </w:r>
      <w:r>
        <w:rPr>
          <w:rFonts w:ascii="Arial" w:hAnsi="Arial"/>
          <w:sz w:val="24"/>
          <w:szCs w:val="24"/>
          <w:vertAlign w:val="superscript"/>
        </w:rPr>
        <w:t>60</w:t>
      </w:r>
      <w:r>
        <w:rPr>
          <w:rFonts w:ascii="Arial" w:hAnsi="Arial"/>
          <w:sz w:val="24"/>
          <w:szCs w:val="24"/>
        </w:rPr>
        <w:t xml:space="preserve">Ni + </w:t>
      </w:r>
      <w:r>
        <w:rPr>
          <w:rFonts w:ascii="Arial" w:hAnsi="Arial"/>
          <w:sz w:val="24"/>
          <w:szCs w:val="24"/>
        </w:rPr>
        <w:sym w:font="Symbol" w:char="F067"/>
      </w:r>
      <w:r>
        <w:rPr>
          <w:rFonts w:ascii="Arial" w:hAnsi="Arial"/>
          <w:sz w:val="24"/>
          <w:szCs w:val="24"/>
        </w:rPr>
        <w:t xml:space="preserve"> + 1,33 MeV</w:t>
      </w:r>
    </w:p>
    <w:p w14:paraId="159B5067" w14:textId="77777777" w:rsidR="00B90D41" w:rsidRDefault="00B90D41" w:rsidP="00333C33">
      <w:pPr>
        <w:spacing w:after="0" w:line="240" w:lineRule="auto"/>
        <w:rPr>
          <w:rFonts w:ascii="Arial" w:hAnsi="Arial" w:cs="Arial"/>
          <w:sz w:val="24"/>
          <w:szCs w:val="24"/>
        </w:rPr>
      </w:pPr>
    </w:p>
    <w:p w14:paraId="02683FC9" w14:textId="77777777" w:rsidR="0021047F" w:rsidRDefault="0021047F" w:rsidP="00333C33">
      <w:pPr>
        <w:spacing w:after="0" w:line="240" w:lineRule="auto"/>
        <w:rPr>
          <w:rFonts w:ascii="Arial" w:hAnsi="Arial" w:cs="Arial"/>
          <w:sz w:val="24"/>
          <w:szCs w:val="24"/>
        </w:rPr>
      </w:pPr>
      <w:r>
        <w:rPr>
          <w:rFonts w:ascii="Arial" w:hAnsi="Arial"/>
          <w:sz w:val="24"/>
          <w:szCs w:val="24"/>
        </w:rPr>
        <w:t>Dans la première équation, l’énergie est celle de l’électron; dans la deuxième et la troisième, c’est celle des rayons gamma.</w:t>
      </w:r>
    </w:p>
    <w:p w14:paraId="7463B69E" w14:textId="77777777" w:rsidR="00333C33" w:rsidRPr="00970D11" w:rsidRDefault="00333C33" w:rsidP="00606F58">
      <w:pPr>
        <w:spacing w:after="0" w:line="240" w:lineRule="auto"/>
        <w:rPr>
          <w:rFonts w:ascii="Arial" w:hAnsi="Arial" w:cs="Arial"/>
          <w:sz w:val="24"/>
          <w:szCs w:val="24"/>
        </w:rPr>
      </w:pPr>
    </w:p>
    <w:p w14:paraId="3061B8DF" w14:textId="77777777" w:rsidR="00333C33" w:rsidRDefault="0021047F" w:rsidP="00333C33">
      <w:pPr>
        <w:spacing w:after="0" w:line="240" w:lineRule="auto"/>
        <w:rPr>
          <w:rFonts w:ascii="Arial" w:hAnsi="Arial" w:cs="Arial"/>
          <w:sz w:val="24"/>
          <w:szCs w:val="24"/>
        </w:rPr>
      </w:pPr>
      <w:r>
        <w:rPr>
          <w:rFonts w:ascii="Arial" w:hAnsi="Arial"/>
          <w:sz w:val="24"/>
          <w:szCs w:val="24"/>
        </w:rPr>
        <w:t xml:space="preserve">Les rayons gamma peuvent aussi se former lors de l’intégration de particules subatomiques, par exemple, une annihilation électron-positron. Lorsqu’il y a collision entre la matière et l’antimatière, celles-ci s’annulent réciproquement et libèrent de l’énergie. En pareil cas, cette énergie est émise sous la forme de deux rayons gamma portant une énergie équivalente à celle de l’électron et du positron. </w:t>
      </w:r>
    </w:p>
    <w:p w14:paraId="2FFE1BF4" w14:textId="77777777" w:rsidR="00333C33" w:rsidRDefault="00333C33" w:rsidP="00333C33">
      <w:pPr>
        <w:spacing w:after="0" w:line="240" w:lineRule="auto"/>
        <w:rPr>
          <w:rFonts w:ascii="Arial" w:hAnsi="Arial" w:cs="Arial"/>
          <w:sz w:val="24"/>
          <w:szCs w:val="24"/>
        </w:rPr>
      </w:pPr>
    </w:p>
    <w:tbl>
      <w:tblPr>
        <w:tblpPr w:leftFromText="195" w:rightFromText="45" w:bottomFromText="390" w:vertAnchor="text" w:tblpXSpec="right" w:tblpYSpec="center"/>
        <w:tblW w:w="5865" w:type="dxa"/>
        <w:tblBorders>
          <w:bottom w:val="single" w:sz="6" w:space="0" w:color="DDDDDD"/>
        </w:tblBorders>
        <w:tblCellMar>
          <w:left w:w="0" w:type="dxa"/>
          <w:right w:w="0" w:type="dxa"/>
        </w:tblCellMar>
        <w:tblLook w:val="04A0" w:firstRow="1" w:lastRow="0" w:firstColumn="1" w:lastColumn="0" w:noHBand="0" w:noVBand="1"/>
      </w:tblPr>
      <w:tblGrid>
        <w:gridCol w:w="6154"/>
      </w:tblGrid>
      <w:tr w:rsidR="00333C33" w:rsidRPr="00D41434" w14:paraId="3CFF2F5A"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42832A6B" w14:textId="77777777" w:rsidR="00333C33" w:rsidRPr="00D41434" w:rsidRDefault="00333C33" w:rsidP="00D41434">
            <w:pPr>
              <w:spacing w:after="0" w:line="240" w:lineRule="auto"/>
              <w:rPr>
                <w:rFonts w:ascii="Arial" w:eastAsia="Times New Roman" w:hAnsi="Arial" w:cs="Arial"/>
                <w:sz w:val="24"/>
                <w:szCs w:val="24"/>
              </w:rPr>
            </w:pPr>
            <w:r>
              <w:rPr>
                <w:noProof/>
              </w:rPr>
              <w:drawing>
                <wp:anchor distT="0" distB="0" distL="114300" distR="114300" simplePos="0" relativeHeight="251662336" behindDoc="0" locked="0" layoutInCell="1" allowOverlap="1" wp14:anchorId="015D946D" wp14:editId="7E13BD43">
                  <wp:simplePos x="0" y="0"/>
                  <wp:positionH relativeFrom="column">
                    <wp:posOffset>0</wp:posOffset>
                  </wp:positionH>
                  <wp:positionV relativeFrom="paragraph">
                    <wp:posOffset>12065</wp:posOffset>
                  </wp:positionV>
                  <wp:extent cx="3813048" cy="1078992"/>
                  <wp:effectExtent l="0" t="0" r="0" b="6985"/>
                  <wp:wrapSquare wrapText="left"/>
                  <wp:docPr id="33" name="Picture 33" descr="A gamma ray photograph of a transport truck showing two stow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amma ray photograph of a transport truck showing two stowaway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048" cy="10789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3C33" w:rsidRPr="00382CC6" w14:paraId="7A2D9FF2" w14:textId="77777777" w:rsidTr="00D41434">
        <w:tc>
          <w:tcPr>
            <w:tcW w:w="0" w:type="auto"/>
            <w:tcBorders>
              <w:top w:val="single" w:sz="6" w:space="0" w:color="DDDDDD"/>
              <w:left w:val="nil"/>
              <w:bottom w:val="nil"/>
              <w:right w:val="nil"/>
            </w:tcBorders>
            <w:tcMar>
              <w:top w:w="90" w:type="dxa"/>
              <w:left w:w="0" w:type="dxa"/>
              <w:bottom w:w="90" w:type="dxa"/>
              <w:right w:w="150" w:type="dxa"/>
            </w:tcMar>
            <w:vAlign w:val="bottom"/>
            <w:hideMark/>
          </w:tcPr>
          <w:p w14:paraId="24C8596D" w14:textId="77777777" w:rsidR="00333C33" w:rsidRPr="00D41434" w:rsidRDefault="00333C33" w:rsidP="00333C33">
            <w:pPr>
              <w:pStyle w:val="Caption"/>
              <w:jc w:val="center"/>
              <w:rPr>
                <w:rFonts w:ascii="Arial" w:hAnsi="Arial" w:cs="Arial"/>
                <w:noProof/>
                <w:color w:val="auto"/>
                <w:sz w:val="24"/>
                <w:szCs w:val="24"/>
              </w:rPr>
            </w:pPr>
            <w:r>
              <w:rPr>
                <w:rFonts w:ascii="Arial" w:hAnsi="Arial"/>
                <w:color w:val="auto"/>
                <w:sz w:val="24"/>
                <w:szCs w:val="24"/>
              </w:rPr>
              <w:t>Photographie aux rayons gamma d’un camion de transport révélant deux passagers clandestins.</w:t>
            </w:r>
          </w:p>
          <w:p w14:paraId="351B7A3F" w14:textId="77777777" w:rsidR="00333C33" w:rsidRPr="00382CC6" w:rsidRDefault="00333C33" w:rsidP="00D41434">
            <w:pPr>
              <w:spacing w:after="0" w:line="240" w:lineRule="auto"/>
              <w:jc w:val="center"/>
              <w:textAlignment w:val="baseline"/>
              <w:rPr>
                <w:rFonts w:ascii="Arial" w:eastAsia="Times New Roman" w:hAnsi="Arial" w:cs="Arial"/>
                <w:sz w:val="24"/>
                <w:szCs w:val="24"/>
              </w:rPr>
            </w:pPr>
          </w:p>
        </w:tc>
      </w:tr>
    </w:tbl>
    <w:p w14:paraId="435DF7AE" w14:textId="77777777" w:rsidR="00A82A2E" w:rsidRPr="00970D11" w:rsidRDefault="0021047F" w:rsidP="00606F58">
      <w:pPr>
        <w:spacing w:after="0" w:line="240" w:lineRule="auto"/>
        <w:rPr>
          <w:rFonts w:ascii="Arial" w:hAnsi="Arial" w:cs="Arial"/>
          <w:sz w:val="24"/>
          <w:szCs w:val="24"/>
        </w:rPr>
      </w:pPr>
      <w:r>
        <w:rPr>
          <w:rFonts w:ascii="Arial" w:hAnsi="Arial"/>
          <w:sz w:val="24"/>
          <w:szCs w:val="24"/>
        </w:rPr>
        <w:t>Les rayons gamma sont plus pénétrants que tous les autres rayonnements. Ils peuvent être absorbés par des matières plus denses (voir les zones foncées sur la photo ci-dessus), mais ils traversent les matières moins denses. Ces rayons peuvent interagir avec les cellules ou l’ADN et causer des lésions cellulaires. Tout le monde reçoit régulièrement des doses de rayonnement gamma d’origine naturelle (p. ex., la désintégration radioactive), mais il faut limiter l’exposition à ces rayons.</w:t>
      </w:r>
    </w:p>
    <w:sectPr w:rsidR="00A82A2E" w:rsidRPr="00970D11" w:rsidSect="00A41034">
      <w:headerReference w:type="even" r:id="rId9"/>
      <w:headerReference w:type="default" r:id="rId10"/>
      <w:footerReference w:type="even" r:id="rId11"/>
      <w:footerReference w:type="default" r:id="rId12"/>
      <w:headerReference w:type="first" r:id="rId13"/>
      <w:footerReference w:type="first" r:id="rId14"/>
      <w:pgSz w:w="12240" w:h="15840"/>
      <w:pgMar w:top="1728" w:right="720" w:bottom="144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DDB55" w14:textId="77777777" w:rsidR="000546B9" w:rsidRDefault="000546B9" w:rsidP="00333C33">
      <w:pPr>
        <w:spacing w:after="0" w:line="240" w:lineRule="auto"/>
      </w:pPr>
      <w:r>
        <w:separator/>
      </w:r>
    </w:p>
  </w:endnote>
  <w:endnote w:type="continuationSeparator" w:id="0">
    <w:p w14:paraId="00E87755" w14:textId="77777777" w:rsidR="000546B9" w:rsidRDefault="000546B9" w:rsidP="00333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panose1 w:val="020B0604020202020204"/>
    <w:charset w:val="00"/>
    <w:family w:val="swiss"/>
    <w:pitch w:val="variable"/>
    <w:sig w:usb0="E4002EFF" w:usb1="C000E47F" w:usb2="00000009" w:usb3="00000000" w:csb0="000001FF" w:csb1="00000000"/>
  </w:font>
  <w:font w:name="DINPro-Bold">
    <w:panose1 w:val="02000503030000020004"/>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70F8" w14:textId="77777777" w:rsidR="004D26D7" w:rsidRDefault="004D2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E18F" w14:textId="77777777" w:rsidR="004D26D7" w:rsidRDefault="004D2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BEF4" w14:textId="77777777" w:rsidR="004D26D7" w:rsidRDefault="004D2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64906" w14:textId="77777777" w:rsidR="000546B9" w:rsidRDefault="000546B9" w:rsidP="00333C33">
      <w:pPr>
        <w:spacing w:after="0" w:line="240" w:lineRule="auto"/>
      </w:pPr>
      <w:r>
        <w:separator/>
      </w:r>
    </w:p>
  </w:footnote>
  <w:footnote w:type="continuationSeparator" w:id="0">
    <w:p w14:paraId="1791E5F7" w14:textId="77777777" w:rsidR="000546B9" w:rsidRDefault="000546B9" w:rsidP="00333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7936" w14:textId="77777777" w:rsidR="004D26D7" w:rsidRDefault="004D2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257DE" w14:textId="77777777" w:rsidR="00333C33" w:rsidRPr="00637320" w:rsidRDefault="00333C33" w:rsidP="00333C33">
    <w:pPr>
      <w:pStyle w:val="Header"/>
      <w:framePr w:wrap="around" w:vAnchor="text" w:hAnchor="page" w:x="11280" w:y="1"/>
      <w:rPr>
        <w:rStyle w:val="PageNumber"/>
        <w:rFonts w:ascii="Arial" w:hAnsi="Arial" w:cs="Arial"/>
        <w:b/>
        <w:color w:val="FFFFFF"/>
        <w:position w:val="-10"/>
      </w:rPr>
    </w:pPr>
    <w:r w:rsidRPr="00637320">
      <w:rPr>
        <w:rStyle w:val="PageNumber"/>
        <w:rFonts w:ascii="Arial" w:hAnsi="Arial" w:cs="Arial"/>
        <w:b/>
        <w:color w:val="FFFFFF"/>
      </w:rPr>
      <w:fldChar w:fldCharType="begin"/>
    </w:r>
    <w:r w:rsidRPr="00637320">
      <w:rPr>
        <w:rStyle w:val="PageNumber"/>
        <w:rFonts w:ascii="Arial" w:hAnsi="Arial" w:cs="Arial"/>
        <w:b/>
        <w:color w:val="FFFFFF"/>
      </w:rPr>
      <w:instrText xml:space="preserve">PAGE  </w:instrText>
    </w:r>
    <w:r w:rsidRPr="00637320">
      <w:rPr>
        <w:rStyle w:val="PageNumber"/>
        <w:rFonts w:ascii="Arial" w:hAnsi="Arial" w:cs="Arial"/>
        <w:b/>
        <w:color w:val="FFFFFF"/>
      </w:rPr>
      <w:fldChar w:fldCharType="separate"/>
    </w:r>
    <w:r>
      <w:rPr>
        <w:rStyle w:val="PageNumber"/>
        <w:rFonts w:ascii="Arial" w:hAnsi="Arial" w:cs="Arial"/>
        <w:b/>
        <w:color w:val="FFFFFF"/>
      </w:rPr>
      <w:t>2</w:t>
    </w:r>
    <w:r w:rsidRPr="00637320">
      <w:rPr>
        <w:rStyle w:val="PageNumber"/>
        <w:rFonts w:ascii="Arial" w:hAnsi="Arial" w:cs="Arial"/>
        <w:b/>
        <w:color w:val="FFFFFF"/>
      </w:rPr>
      <w:fldChar w:fldCharType="end"/>
    </w:r>
  </w:p>
  <w:p w14:paraId="777E46BC" w14:textId="496E7F66" w:rsidR="00333C33" w:rsidRPr="00A41034" w:rsidRDefault="00DE12D0" w:rsidP="00A41034">
    <w:pPr>
      <w:pStyle w:val="h1inside"/>
      <w:rPr>
        <w:rFonts w:ascii="Arial" w:hAnsi="Arial" w:cs="Arial"/>
        <w:spacing w:val="0"/>
      </w:rPr>
    </w:pPr>
    <w:bookmarkStart w:id="0" w:name="_GoBack"/>
    <w:r w:rsidRPr="00A41034">
      <w:rPr>
        <w:noProof/>
        <w:spacing w:val="0"/>
      </w:rPr>
      <w:drawing>
        <wp:anchor distT="0" distB="0" distL="114300" distR="114300" simplePos="0" relativeHeight="251663360" behindDoc="1" locked="0" layoutInCell="1" allowOverlap="1" wp14:anchorId="434CC06C" wp14:editId="78E8AB24">
          <wp:simplePos x="0" y="0"/>
          <wp:positionH relativeFrom="page">
            <wp:posOffset>0</wp:posOffset>
          </wp:positionH>
          <wp:positionV relativeFrom="page">
            <wp:posOffset>0</wp:posOffset>
          </wp:positionV>
          <wp:extent cx="7771765" cy="10057130"/>
          <wp:effectExtent l="0" t="0" r="63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765" cy="10057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33C33" w:rsidRPr="00A41034">
      <w:rPr>
        <w:rFonts w:ascii="Arial" w:hAnsi="Arial"/>
        <w:caps/>
        <w:spacing w:val="0"/>
        <w:sz w:val="22"/>
        <w:szCs w:val="22"/>
      </w:rPr>
      <w:t>Fiche reproductible</w:t>
    </w:r>
    <w:r w:rsidR="00333C33" w:rsidRPr="00A41034">
      <w:rPr>
        <w:rFonts w:ascii="Arial" w:hAnsi="Arial"/>
        <w:spacing w:val="0"/>
        <w:sz w:val="22"/>
        <w:szCs w:val="22"/>
      </w:rPr>
      <w:t xml:space="preserve"> – La désintégration radioactive : </w:t>
    </w:r>
    <w:r w:rsidR="004D26D7">
      <w:rPr>
        <w:rFonts w:ascii="Arial" w:hAnsi="Arial"/>
        <w:spacing w:val="0"/>
        <w:sz w:val="22"/>
        <w:szCs w:val="22"/>
      </w:rPr>
      <w:t>c</w:t>
    </w:r>
    <w:r w:rsidR="00333C33" w:rsidRPr="00A41034">
      <w:rPr>
        <w:rFonts w:ascii="Arial" w:hAnsi="Arial"/>
        <w:spacing w:val="0"/>
        <w:sz w:val="22"/>
        <w:szCs w:val="22"/>
      </w:rPr>
      <w:t>’est du grec pour moi</w:t>
    </w:r>
    <w:r w:rsidR="00333C33" w:rsidRPr="00A41034">
      <w:rPr>
        <w:rFonts w:ascii="Arial" w:hAnsi="Arial"/>
        <w:spacing w:val="0"/>
      </w:rPr>
      <w:t>!</w:t>
    </w:r>
  </w:p>
  <w:p w14:paraId="426C951B" w14:textId="77777777" w:rsidR="00333C33" w:rsidRDefault="00333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F731D" w14:textId="2765BB0E" w:rsidR="00333C33" w:rsidRPr="00637320" w:rsidRDefault="00333C33" w:rsidP="00333C33">
    <w:pPr>
      <w:pStyle w:val="Header"/>
      <w:ind w:right="1440"/>
      <w:rPr>
        <w:rFonts w:ascii="Arial" w:hAnsi="Arial" w:cs="Arial"/>
      </w:rPr>
    </w:pPr>
    <w:r w:rsidRPr="00A41034">
      <w:rPr>
        <w:rFonts w:ascii="Arial" w:hAnsi="Arial"/>
        <w:caps/>
        <w:noProof/>
      </w:rPr>
      <w:drawing>
        <wp:anchor distT="0" distB="0" distL="114300" distR="114300" simplePos="0" relativeHeight="251661312" behindDoc="1" locked="0" layoutInCell="1" allowOverlap="1" wp14:anchorId="04C3D1C7" wp14:editId="3C225AF8">
          <wp:simplePos x="0" y="0"/>
          <wp:positionH relativeFrom="page">
            <wp:posOffset>245</wp:posOffset>
          </wp:positionH>
          <wp:positionV relativeFrom="page">
            <wp:posOffset>0</wp:posOffset>
          </wp:positionV>
          <wp:extent cx="7771909" cy="1005776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034">
      <w:rPr>
        <w:rFonts w:ascii="Arial" w:hAnsi="Arial"/>
        <w:b/>
        <w:caps/>
        <w:color w:val="FFFFFF"/>
        <w:sz w:val="32"/>
        <w:szCs w:val="32"/>
      </w:rPr>
      <w:t>Fiche reproductible</w:t>
    </w:r>
    <w:r>
      <w:rPr>
        <w:rFonts w:ascii="Arial" w:hAnsi="Arial"/>
        <w:b/>
        <w:color w:val="FFFFFF"/>
        <w:sz w:val="32"/>
        <w:szCs w:val="32"/>
      </w:rPr>
      <w:t xml:space="preserve"> – La désintégration radioactive : </w:t>
    </w:r>
    <w:r w:rsidR="004D26D7">
      <w:rPr>
        <w:rFonts w:ascii="Arial" w:hAnsi="Arial"/>
        <w:b/>
        <w:color w:val="FFFFFF"/>
        <w:sz w:val="32"/>
        <w:szCs w:val="32"/>
      </w:rPr>
      <w:t>c</w:t>
    </w:r>
    <w:r>
      <w:rPr>
        <w:rFonts w:ascii="Arial" w:hAnsi="Arial"/>
        <w:b/>
        <w:color w:val="FFFFFF"/>
        <w:sz w:val="32"/>
        <w:szCs w:val="32"/>
      </w:rPr>
      <w:t>’est du grec pour moi!</w:t>
    </w:r>
  </w:p>
  <w:p w14:paraId="53501B64" w14:textId="77777777" w:rsidR="00333C33" w:rsidRDefault="00333C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A2E"/>
    <w:rsid w:val="00015C67"/>
    <w:rsid w:val="000546B9"/>
    <w:rsid w:val="00056CCD"/>
    <w:rsid w:val="0021047F"/>
    <w:rsid w:val="00230701"/>
    <w:rsid w:val="002F7AEF"/>
    <w:rsid w:val="00333C33"/>
    <w:rsid w:val="00443A02"/>
    <w:rsid w:val="004B0C98"/>
    <w:rsid w:val="004D26D7"/>
    <w:rsid w:val="005760EA"/>
    <w:rsid w:val="005C4E0E"/>
    <w:rsid w:val="00606F58"/>
    <w:rsid w:val="0080607A"/>
    <w:rsid w:val="008643E2"/>
    <w:rsid w:val="008A22E4"/>
    <w:rsid w:val="00970D11"/>
    <w:rsid w:val="00A41034"/>
    <w:rsid w:val="00A50D8D"/>
    <w:rsid w:val="00A82A2E"/>
    <w:rsid w:val="00B90D41"/>
    <w:rsid w:val="00BD6D08"/>
    <w:rsid w:val="00C723E1"/>
    <w:rsid w:val="00C7435F"/>
    <w:rsid w:val="00CB6075"/>
    <w:rsid w:val="00DD3C6C"/>
    <w:rsid w:val="00DE12D0"/>
    <w:rsid w:val="00DE58E6"/>
    <w:rsid w:val="00E74E12"/>
    <w:rsid w:val="00F13A78"/>
    <w:rsid w:val="00F4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538D5"/>
  <w15:chartTrackingRefBased/>
  <w15:docId w15:val="{8332C736-4395-4B2A-8000-ED30E591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82A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A2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1047F"/>
    <w:rPr>
      <w:color w:val="0563C1" w:themeColor="hyperlink"/>
      <w:u w:val="single"/>
    </w:rPr>
  </w:style>
  <w:style w:type="character" w:styleId="UnresolvedMention">
    <w:name w:val="Unresolved Mention"/>
    <w:basedOn w:val="DefaultParagraphFont"/>
    <w:uiPriority w:val="99"/>
    <w:semiHidden/>
    <w:unhideWhenUsed/>
    <w:rsid w:val="0021047F"/>
    <w:rPr>
      <w:color w:val="605E5C"/>
      <w:shd w:val="clear" w:color="auto" w:fill="E1DFDD"/>
    </w:rPr>
  </w:style>
  <w:style w:type="paragraph" w:styleId="Caption">
    <w:name w:val="caption"/>
    <w:basedOn w:val="Normal"/>
    <w:next w:val="Normal"/>
    <w:uiPriority w:val="35"/>
    <w:unhideWhenUsed/>
    <w:qFormat/>
    <w:rsid w:val="00BD6D08"/>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C4E0E"/>
    <w:rPr>
      <w:color w:val="954F72" w:themeColor="followedHyperlink"/>
      <w:u w:val="single"/>
    </w:rPr>
  </w:style>
  <w:style w:type="paragraph" w:styleId="BalloonText">
    <w:name w:val="Balloon Text"/>
    <w:basedOn w:val="Normal"/>
    <w:link w:val="BalloonTextChar"/>
    <w:uiPriority w:val="99"/>
    <w:semiHidden/>
    <w:unhideWhenUsed/>
    <w:rsid w:val="00C743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35F"/>
    <w:rPr>
      <w:rFonts w:ascii="Segoe UI" w:hAnsi="Segoe UI" w:cs="Segoe UI"/>
      <w:sz w:val="18"/>
      <w:szCs w:val="18"/>
    </w:rPr>
  </w:style>
  <w:style w:type="paragraph" w:styleId="Header">
    <w:name w:val="header"/>
    <w:basedOn w:val="Normal"/>
    <w:link w:val="HeaderChar"/>
    <w:uiPriority w:val="99"/>
    <w:unhideWhenUsed/>
    <w:rsid w:val="00333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33"/>
  </w:style>
  <w:style w:type="paragraph" w:styleId="Footer">
    <w:name w:val="footer"/>
    <w:basedOn w:val="Normal"/>
    <w:link w:val="FooterChar"/>
    <w:uiPriority w:val="99"/>
    <w:unhideWhenUsed/>
    <w:rsid w:val="00333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33"/>
  </w:style>
  <w:style w:type="character" w:styleId="PageNumber">
    <w:name w:val="page number"/>
    <w:basedOn w:val="DefaultParagraphFont"/>
    <w:uiPriority w:val="99"/>
    <w:rsid w:val="00333C33"/>
  </w:style>
  <w:style w:type="paragraph" w:customStyle="1" w:styleId="h1inside">
    <w:name w:val="h1 inside"/>
    <w:basedOn w:val="Normal"/>
    <w:uiPriority w:val="99"/>
    <w:rsid w:val="00333C33"/>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0925">
      <w:bodyDiv w:val="1"/>
      <w:marLeft w:val="0"/>
      <w:marRight w:val="0"/>
      <w:marTop w:val="0"/>
      <w:marBottom w:val="0"/>
      <w:divBdr>
        <w:top w:val="none" w:sz="0" w:space="0" w:color="auto"/>
        <w:left w:val="none" w:sz="0" w:space="0" w:color="auto"/>
        <w:bottom w:val="none" w:sz="0" w:space="0" w:color="auto"/>
        <w:right w:val="none" w:sz="0" w:space="0" w:color="auto"/>
      </w:divBdr>
    </w:div>
    <w:div w:id="262693981">
      <w:bodyDiv w:val="1"/>
      <w:marLeft w:val="0"/>
      <w:marRight w:val="0"/>
      <w:marTop w:val="0"/>
      <w:marBottom w:val="0"/>
      <w:divBdr>
        <w:top w:val="none" w:sz="0" w:space="0" w:color="auto"/>
        <w:left w:val="none" w:sz="0" w:space="0" w:color="auto"/>
        <w:bottom w:val="none" w:sz="0" w:space="0" w:color="auto"/>
        <w:right w:val="none" w:sz="0" w:space="0" w:color="auto"/>
      </w:divBdr>
    </w:div>
    <w:div w:id="980110908">
      <w:bodyDiv w:val="1"/>
      <w:marLeft w:val="0"/>
      <w:marRight w:val="0"/>
      <w:marTop w:val="0"/>
      <w:marBottom w:val="0"/>
      <w:divBdr>
        <w:top w:val="none" w:sz="0" w:space="0" w:color="auto"/>
        <w:left w:val="none" w:sz="0" w:space="0" w:color="auto"/>
        <w:bottom w:val="none" w:sz="0" w:space="0" w:color="auto"/>
        <w:right w:val="none" w:sz="0" w:space="0" w:color="auto"/>
      </w:divBdr>
    </w:div>
    <w:div w:id="1654213673">
      <w:bodyDiv w:val="1"/>
      <w:marLeft w:val="0"/>
      <w:marRight w:val="0"/>
      <w:marTop w:val="0"/>
      <w:marBottom w:val="0"/>
      <w:divBdr>
        <w:top w:val="none" w:sz="0" w:space="0" w:color="auto"/>
        <w:left w:val="none" w:sz="0" w:space="0" w:color="auto"/>
        <w:bottom w:val="none" w:sz="0" w:space="0" w:color="auto"/>
        <w:right w:val="none" w:sz="0" w:space="0" w:color="auto"/>
      </w:divBdr>
    </w:div>
    <w:div w:id="176299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Imran Chowdhury</cp:lastModifiedBy>
  <cp:revision>6</cp:revision>
  <dcterms:created xsi:type="dcterms:W3CDTF">2019-09-12T15:13:00Z</dcterms:created>
  <dcterms:modified xsi:type="dcterms:W3CDTF">2019-12-12T17:35:00Z</dcterms:modified>
</cp:coreProperties>
</file>